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2BBD8" w14:textId="76722A9C" w:rsidR="002A6D29" w:rsidRPr="002A6D29" w:rsidRDefault="002A6D29" w:rsidP="002A6D29">
      <w:pPr>
        <w:rPr>
          <w14:ligatures w14:val="none"/>
        </w:rPr>
      </w:pPr>
      <w:r>
        <w:rPr>
          <w14:ligatures w14:val="none"/>
        </w:rPr>
        <w:t>*</w:t>
      </w:r>
      <w:r w:rsidRPr="002A6D29">
        <w:rPr>
          <w14:ligatures w14:val="none"/>
        </w:rPr>
        <w:t>Please note: Because this PRR is closely linked to PRR 1690, the posted response will also be included in this PRR for reference.</w:t>
      </w:r>
    </w:p>
    <w:p w14:paraId="0B36FB38" w14:textId="77777777" w:rsidR="002A6D29" w:rsidRDefault="002A6D29">
      <w:pPr>
        <w:rPr>
          <w14:ligatures w14:val="none"/>
        </w:rPr>
      </w:pPr>
    </w:p>
    <w:p w14:paraId="49B7D880" w14:textId="15D0ED94" w:rsidR="00983911" w:rsidRDefault="00983911">
      <w:pPr>
        <w:rPr>
          <w14:ligatures w14:val="none"/>
        </w:rPr>
      </w:pPr>
      <w:r>
        <w:rPr>
          <w14:ligatures w14:val="none"/>
        </w:rPr>
        <w:t>Hi Alan and Bonnie,</w:t>
      </w:r>
    </w:p>
    <w:p w14:paraId="2CF98E6D" w14:textId="77777777" w:rsidR="00983911" w:rsidRDefault="00983911">
      <w:pPr>
        <w:rPr>
          <w14:ligatures w14:val="none"/>
        </w:rPr>
      </w:pPr>
    </w:p>
    <w:p w14:paraId="7CD9C2F6" w14:textId="77777777" w:rsidR="00983911" w:rsidRDefault="00983911">
      <w:pPr>
        <w:rPr>
          <w14:ligatures w14:val="none"/>
        </w:rPr>
      </w:pPr>
      <w:r>
        <w:rPr>
          <w14:ligatures w14:val="none"/>
        </w:rPr>
        <w:t>Below is an official response to questions on 1690 (more clearly captured than my summarizations during the PRR meeting).    </w:t>
      </w:r>
    </w:p>
    <w:p w14:paraId="49194FA0" w14:textId="77777777" w:rsidR="00983911" w:rsidRDefault="00983911">
      <w:pPr>
        <w:rPr>
          <w14:ligatures w14:val="none"/>
        </w:rPr>
      </w:pPr>
    </w:p>
    <w:p w14:paraId="6B109B7E" w14:textId="77777777" w:rsidR="00983911" w:rsidRDefault="00983911">
      <w:pPr>
        <w:ind w:left="1440"/>
        <w:rPr>
          <w14:ligatures w14:val="none"/>
        </w:rPr>
      </w:pPr>
      <w:r>
        <w:rPr>
          <w14:ligatures w14:val="none"/>
        </w:rPr>
        <w:t xml:space="preserve">PRR 1690 covers a narrow and well-defined scenario – moving power between non-contiguous portions of the same balancing authority area.  The PRR explains there is operational benefit from having such transactions reported on separate </w:t>
      </w:r>
      <w:proofErr w:type="spellStart"/>
      <w:r>
        <w:rPr>
          <w14:ligatures w14:val="none"/>
        </w:rPr>
        <w:t>eTags</w:t>
      </w:r>
      <w:proofErr w:type="spellEnd"/>
      <w:r>
        <w:rPr>
          <w14:ligatures w14:val="none"/>
        </w:rPr>
        <w:t>.  Such schedules also do not pose the sort of operational and market risks as schedules FERC has deemed to be circular schedules in prior instances.  The CAISO understands PG&amp;E’s concern that a market participant could cite the language from this PRR to justify breaking up the legs of a circular schedule into separate transactions and evade the impact of the settlement rule.  The CAISO addressed this concern when it proposed the circular scheduling settlement rule in 2012.  The CAISO explained that if “it believes that a market participant intentionally sought to circumvent the proposed settlement rules by submitting multiple e-Tags that “chop-up” the path of what is essentially a single transaction so as to avoid application of the proposed settlement rule, then DMM would consider referring that conduct as either potentially manipulative or involving the submission of false information.  The same would apply if there were reason to believe that a single scheduling coordinator sought to avoid the settlement rule by including a third party on the e-Tag where there was no legitimate arm’s-length transaction between the two parties.” (</w:t>
      </w:r>
      <w:hyperlink r:id="rId4" w:history="1">
        <w:r>
          <w:rPr>
            <w:rStyle w:val="Hyperlink"/>
            <w14:ligatures w14:val="none"/>
          </w:rPr>
          <w:t>CAISO transmittal letter</w:t>
        </w:r>
      </w:hyperlink>
      <w:r>
        <w:rPr>
          <w14:ligatures w14:val="none"/>
        </w:rPr>
        <w:t xml:space="preserve">, p.15.  also review </w:t>
      </w:r>
      <w:hyperlink r:id="rId5" w:history="1">
        <w:r>
          <w:rPr>
            <w:rStyle w:val="Hyperlink"/>
            <w14:ligatures w14:val="none"/>
          </w:rPr>
          <w:t>CAISO answer to protest and comments</w:t>
        </w:r>
      </w:hyperlink>
      <w:r>
        <w:rPr>
          <w14:ligatures w14:val="none"/>
        </w:rPr>
        <w:t xml:space="preserve">, pp.8-10).  The CAISO has been monitoring, and will continue to monitor, for transactions that seek to circumvent or evade the settlement rule.  As relates to PRR </w:t>
      </w:r>
      <w:proofErr w:type="gramStart"/>
      <w:r>
        <w:rPr>
          <w14:ligatures w14:val="none"/>
        </w:rPr>
        <w:t>1690,  this</w:t>
      </w:r>
      <w:proofErr w:type="gramEnd"/>
      <w:r>
        <w:rPr>
          <w14:ligatures w14:val="none"/>
        </w:rPr>
        <w:t xml:space="preserve"> monitoring would include the use of separate </w:t>
      </w:r>
      <w:proofErr w:type="spellStart"/>
      <w:r>
        <w:rPr>
          <w14:ligatures w14:val="none"/>
        </w:rPr>
        <w:t>eTags</w:t>
      </w:r>
      <w:proofErr w:type="spellEnd"/>
      <w:r>
        <w:rPr>
          <w14:ligatures w14:val="none"/>
        </w:rPr>
        <w:t xml:space="preserve"> for a schedule sourcing and sinking in the same balancing authority area, unless the schedule was used to move power between non-contiguous portions of the same balancing authority area.</w:t>
      </w:r>
    </w:p>
    <w:p w14:paraId="772A1FF7" w14:textId="77777777" w:rsidR="00983911" w:rsidRDefault="00983911">
      <w:pPr>
        <w:ind w:left="1440"/>
      </w:pPr>
    </w:p>
    <w:p w14:paraId="261935DA" w14:textId="77777777" w:rsidR="00983911" w:rsidRDefault="00983911">
      <w:r>
        <w:t>~Michael Martin</w:t>
      </w:r>
    </w:p>
    <w:sectPr w:rsidR="009839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Type w:val="eMail"/>
  <w:defaultTabStop w:val="720"/>
  <w:noPunctuationKerning/>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0AE"/>
    <w:rsid w:val="002A6D29"/>
    <w:rsid w:val="0034630E"/>
    <w:rsid w:val="00983911"/>
    <w:rsid w:val="00C83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EDE0E4"/>
  <w15:chartTrackingRefBased/>
  <w15:docId w15:val="{1BAF988E-A222-4E11-9965-B4F4B7862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eastAsiaTheme="minorHAnsi" w:hAnsi="Aptos" w:cs="Aptos"/>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spacing w:before="100" w:beforeAutospacing="1" w:after="100" w:afterAutospacing="1"/>
    </w:pPr>
    <w:rPr>
      <w14:ligatures w14:val="none"/>
    </w:rPr>
  </w:style>
  <w:style w:type="character" w:customStyle="1" w:styleId="emailstyle18">
    <w:name w:val="emailstyle18"/>
    <w:basedOn w:val="DefaultParagraphFont"/>
    <w:semiHidden/>
    <w:rPr>
      <w:rFonts w:ascii="Aptos" w:hAnsi="Aptos" w:hint="default"/>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aiso.com/documents/dec27_2012circularschedulinganswer-comments-protests-docketnoer13-449-000.pdf" TargetMode="External"/><Relationship Id="rId10" Type="http://schemas.openxmlformats.org/officeDocument/2006/relationships/customXml" Target="../customXml/item3.xml"/><Relationship Id="rId4" Type="http://schemas.openxmlformats.org/officeDocument/2006/relationships/hyperlink" Target="https://www.caiso.com/documents/november212012tariffamendment-settlementrules-circularscheduling-docketnoer13-449.pdf" TargetMode="Externa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D49796-C2A6-4152-B77B-08734EA768DE}"/>
</file>

<file path=customXml/itemProps2.xml><?xml version="1.0" encoding="utf-8"?>
<ds:datastoreItem xmlns:ds="http://schemas.openxmlformats.org/officeDocument/2006/customXml" ds:itemID="{3FED8772-B2C1-4A0E-A76D-58C540E62EE0}"/>
</file>

<file path=customXml/itemProps3.xml><?xml version="1.0" encoding="utf-8"?>
<ds:datastoreItem xmlns:ds="http://schemas.openxmlformats.org/officeDocument/2006/customXml" ds:itemID="{AFE58C5B-2CDF-4411-A502-DDF422C94F9D}"/>
</file>

<file path=docProps/app.xml><?xml version="1.0" encoding="utf-8"?>
<Properties xmlns="http://schemas.openxmlformats.org/officeDocument/2006/extended-properties" xmlns:vt="http://schemas.openxmlformats.org/officeDocument/2006/docPropsVTypes">
  <Template>Normal.dotm</Template>
  <TotalTime>3</TotalTime>
  <Pages>1</Pages>
  <Words>364</Words>
  <Characters>2076</Characters>
  <Application>Microsoft Office Word</Application>
  <DocSecurity>0</DocSecurity>
  <Lines>17</Lines>
  <Paragraphs>4</Paragraphs>
  <ScaleCrop>false</ScaleCrop>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Williamson-Duffney, Joseph</dc:creator>
  <cp:keywords/>
  <dc:description/>
  <cp:lastModifiedBy>Williamson-Duffney, Joseph</cp:lastModifiedBy>
  <cp:revision>2</cp:revision>
  <cp:lastPrinted>2026-08-28T17:34:00Z</cp:lastPrinted>
  <dcterms:created xsi:type="dcterms:W3CDTF">2026-08-28T17:42:00Z</dcterms:created>
  <dcterms:modified xsi:type="dcterms:W3CDTF">2026-08-28T17:42:00Z</dcterms:modified>
</cp:coreProperties>
</file>